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rPr>
        <w:t>社会工作硕士专业学位指导性培养方案</w:t>
      </w:r>
    </w:p>
    <w:p>
      <w:pPr>
        <w:jc w:val="center"/>
        <w:rPr>
          <w:rFonts w:hint="eastAsia"/>
          <w:sz w:val="30"/>
          <w:szCs w:val="30"/>
        </w:rPr>
      </w:pPr>
    </w:p>
    <w:p>
      <w:pPr>
        <w:spacing w:line="360" w:lineRule="auto"/>
        <w:ind w:firstLine="480" w:firstLineChars="200"/>
        <w:jc w:val="left"/>
        <w:rPr>
          <w:rFonts w:hint="eastAsia"/>
          <w:sz w:val="24"/>
          <w:szCs w:val="24"/>
        </w:rPr>
      </w:pPr>
      <w:r>
        <w:rPr>
          <w:rFonts w:hint="eastAsia"/>
          <w:sz w:val="24"/>
          <w:szCs w:val="24"/>
        </w:rPr>
        <w:t>基于我国经济与社会发展需要，遵循社会工作学科研究生教育一般规律，根据专业学位教育特点，借鉴、吸收发达国家和地区高层次社会工作专门人才培养的有益经验，制定本培养方案。</w:t>
      </w:r>
    </w:p>
    <w:p>
      <w:pPr>
        <w:spacing w:line="360" w:lineRule="auto"/>
        <w:jc w:val="left"/>
        <w:rPr>
          <w:rFonts w:hint="eastAsia"/>
          <w:sz w:val="28"/>
          <w:szCs w:val="28"/>
        </w:rPr>
      </w:pPr>
      <w:r>
        <w:rPr>
          <w:rFonts w:hint="eastAsia"/>
          <w:sz w:val="28"/>
          <w:szCs w:val="28"/>
        </w:rPr>
        <w:t>一、</w:t>
      </w:r>
      <w:bookmarkStart w:id="0" w:name="_GoBack"/>
      <w:r>
        <w:rPr>
          <w:rFonts w:hint="eastAsia"/>
          <w:sz w:val="28"/>
          <w:szCs w:val="28"/>
        </w:rPr>
        <w:t>培养目标</w:t>
      </w:r>
    </w:p>
    <w:bookmarkEnd w:id="0"/>
    <w:p>
      <w:pPr>
        <w:spacing w:line="360" w:lineRule="auto"/>
        <w:jc w:val="left"/>
        <w:rPr>
          <w:rFonts w:hint="eastAsia"/>
          <w:sz w:val="24"/>
          <w:szCs w:val="24"/>
        </w:rPr>
      </w:pPr>
      <w:r>
        <w:rPr>
          <w:rFonts w:hint="eastAsia"/>
          <w:sz w:val="24"/>
          <w:szCs w:val="24"/>
        </w:rPr>
        <w:t>培养德、智、体全面发展，具有“以人为本、助人自助、公平公正”的专业价值观，掌握社会工作的理论和方法，熟悉我国社会政策，具备较强的社会服务策划、执行、督导、评估和研究能力，胜任针对不同人群及领域的社会服务与社会管理的应用型高级专业人才。</w:t>
      </w:r>
    </w:p>
    <w:p>
      <w:pPr>
        <w:spacing w:line="360" w:lineRule="auto"/>
        <w:jc w:val="left"/>
        <w:rPr>
          <w:rFonts w:hint="eastAsia"/>
          <w:sz w:val="28"/>
          <w:szCs w:val="28"/>
        </w:rPr>
      </w:pPr>
      <w:r>
        <w:rPr>
          <w:rFonts w:hint="eastAsia"/>
          <w:sz w:val="28"/>
          <w:szCs w:val="28"/>
        </w:rPr>
        <w:t>二、招生对象</w:t>
      </w:r>
    </w:p>
    <w:p>
      <w:pPr>
        <w:spacing w:line="360" w:lineRule="auto"/>
        <w:jc w:val="left"/>
        <w:rPr>
          <w:rFonts w:hint="eastAsia"/>
          <w:sz w:val="24"/>
          <w:szCs w:val="24"/>
        </w:rPr>
      </w:pPr>
      <w:r>
        <w:rPr>
          <w:rFonts w:hint="eastAsia"/>
          <w:sz w:val="24"/>
          <w:szCs w:val="24"/>
        </w:rPr>
        <w:t>招生对象一般为社会工作及相关专业或具有一定社会工作实践经验的其他专业的学士学位获得者。</w:t>
      </w:r>
    </w:p>
    <w:p>
      <w:pPr>
        <w:spacing w:line="360" w:lineRule="auto"/>
        <w:jc w:val="left"/>
        <w:rPr>
          <w:rFonts w:hint="eastAsia"/>
          <w:sz w:val="28"/>
          <w:szCs w:val="28"/>
        </w:rPr>
      </w:pPr>
      <w:r>
        <w:rPr>
          <w:rFonts w:hint="eastAsia"/>
          <w:sz w:val="28"/>
          <w:szCs w:val="28"/>
        </w:rPr>
        <w:t>三、学习年限</w:t>
      </w:r>
    </w:p>
    <w:p>
      <w:pPr>
        <w:spacing w:line="360" w:lineRule="auto"/>
        <w:jc w:val="left"/>
        <w:rPr>
          <w:rFonts w:hint="eastAsia"/>
          <w:sz w:val="24"/>
          <w:szCs w:val="24"/>
        </w:rPr>
      </w:pPr>
      <w:r>
        <w:rPr>
          <w:rFonts w:hint="eastAsia"/>
          <w:sz w:val="24"/>
          <w:szCs w:val="24"/>
        </w:rPr>
        <w:t>实行弹性学制。可以全日制学习，也可以非全日制学习。全日制学习期限为2年；非全日制学习期限为2—4年。</w:t>
      </w:r>
    </w:p>
    <w:p>
      <w:pPr>
        <w:spacing w:line="360" w:lineRule="auto"/>
        <w:jc w:val="left"/>
        <w:rPr>
          <w:rFonts w:hint="eastAsia"/>
          <w:sz w:val="28"/>
          <w:szCs w:val="28"/>
        </w:rPr>
      </w:pPr>
      <w:r>
        <w:rPr>
          <w:rFonts w:hint="eastAsia"/>
          <w:sz w:val="28"/>
          <w:szCs w:val="28"/>
          <w:lang w:val="en-US" w:eastAsia="zh-CN"/>
        </w:rPr>
        <w:t>四</w:t>
      </w:r>
      <w:r>
        <w:rPr>
          <w:rFonts w:hint="eastAsia"/>
          <w:sz w:val="28"/>
          <w:szCs w:val="28"/>
        </w:rPr>
        <w:t>、培养方式</w:t>
      </w:r>
    </w:p>
    <w:p>
      <w:pPr>
        <w:spacing w:line="360" w:lineRule="auto"/>
        <w:jc w:val="left"/>
        <w:rPr>
          <w:rFonts w:hint="eastAsia"/>
          <w:sz w:val="24"/>
          <w:szCs w:val="24"/>
        </w:rPr>
      </w:pPr>
      <w:r>
        <w:rPr>
          <w:rFonts w:hint="eastAsia"/>
          <w:sz w:val="24"/>
          <w:szCs w:val="24"/>
        </w:rPr>
        <w:t>1、实行学分制。学生必须通过学校组织的规定课程的考试，成绩合格方能取得该门课程的学分；修满规定的学分方能撰写学位论文。</w:t>
      </w:r>
    </w:p>
    <w:p>
      <w:pPr>
        <w:spacing w:line="360" w:lineRule="auto"/>
        <w:jc w:val="left"/>
        <w:rPr>
          <w:rFonts w:hint="eastAsia"/>
          <w:sz w:val="24"/>
          <w:szCs w:val="24"/>
        </w:rPr>
      </w:pPr>
      <w:r>
        <w:rPr>
          <w:rFonts w:hint="eastAsia"/>
          <w:sz w:val="24"/>
          <w:szCs w:val="24"/>
        </w:rPr>
        <w:t>2、教学方式采用课程讲授、案例研讨和专业实习等多种形式，重视实践教学。实务课程要配备现代化的多媒体教室、社会工作实验室等硬件设施，要聘请有实践经验的优秀社会工作人才为学生上课或开设讲座，可采用案例分析的方式授课，加强社会工作实务技能的训练，兼顾研究能力的培养。</w:t>
      </w:r>
    </w:p>
    <w:p>
      <w:pPr>
        <w:spacing w:line="360" w:lineRule="auto"/>
        <w:jc w:val="left"/>
        <w:rPr>
          <w:rFonts w:hint="eastAsia"/>
          <w:sz w:val="24"/>
          <w:szCs w:val="24"/>
        </w:rPr>
      </w:pPr>
      <w:r>
        <w:rPr>
          <w:rFonts w:hint="eastAsia"/>
          <w:sz w:val="24"/>
          <w:szCs w:val="24"/>
        </w:rPr>
        <w:t>3、重视实习环节。要求学生至少有800小时的专业实习。发挥学校督导与机构督导的双重作用，提高实习教学水平。</w:t>
      </w:r>
    </w:p>
    <w:p>
      <w:pPr>
        <w:spacing w:line="360" w:lineRule="auto"/>
        <w:jc w:val="left"/>
        <w:rPr>
          <w:rFonts w:hint="eastAsia"/>
          <w:sz w:val="24"/>
          <w:szCs w:val="24"/>
        </w:rPr>
      </w:pPr>
      <w:r>
        <w:rPr>
          <w:rFonts w:hint="eastAsia"/>
          <w:sz w:val="24"/>
          <w:szCs w:val="24"/>
        </w:rPr>
        <w:t>4、成立导师组，发挥集体培养的作用。导师组应以具有指导硕士研究生资格的正、副教授为主，并吸收社会服务与管理部门的优秀社会工作人才参加；实行双导师制，即学校专职教师与有实际工作经验和研究水平的优秀社会工作人才共同指导。</w:t>
      </w:r>
    </w:p>
    <w:p>
      <w:pPr>
        <w:spacing w:line="360" w:lineRule="auto"/>
        <w:jc w:val="left"/>
        <w:rPr>
          <w:rFonts w:hint="eastAsia"/>
          <w:sz w:val="28"/>
          <w:szCs w:val="28"/>
        </w:rPr>
      </w:pPr>
      <w:r>
        <w:rPr>
          <w:rFonts w:hint="eastAsia"/>
          <w:sz w:val="28"/>
          <w:szCs w:val="28"/>
        </w:rPr>
        <w:t>五、课程设置</w:t>
      </w:r>
    </w:p>
    <w:p>
      <w:pPr>
        <w:spacing w:line="360" w:lineRule="auto"/>
        <w:jc w:val="left"/>
        <w:rPr>
          <w:rFonts w:hint="eastAsia"/>
          <w:sz w:val="24"/>
          <w:szCs w:val="24"/>
        </w:rPr>
      </w:pPr>
      <w:r>
        <w:rPr>
          <w:rFonts w:hint="eastAsia"/>
          <w:sz w:val="24"/>
          <w:szCs w:val="24"/>
        </w:rPr>
        <w:t>社会工作硕士专业学位课程的总学分不低于36学分。</w:t>
      </w:r>
    </w:p>
    <w:p>
      <w:pPr>
        <w:spacing w:line="360" w:lineRule="auto"/>
        <w:jc w:val="left"/>
        <w:rPr>
          <w:rFonts w:hint="eastAsia"/>
          <w:sz w:val="24"/>
          <w:szCs w:val="24"/>
        </w:rPr>
      </w:pPr>
      <w:r>
        <w:rPr>
          <w:rFonts w:hint="eastAsia"/>
          <w:sz w:val="24"/>
          <w:szCs w:val="24"/>
        </w:rPr>
        <w:t>1、必修课</w:t>
      </w:r>
    </w:p>
    <w:p>
      <w:pPr>
        <w:spacing w:line="360" w:lineRule="auto"/>
        <w:jc w:val="left"/>
        <w:rPr>
          <w:rFonts w:hint="eastAsia"/>
          <w:sz w:val="24"/>
          <w:szCs w:val="24"/>
        </w:rPr>
      </w:pPr>
      <w:r>
        <w:rPr>
          <w:rFonts w:hint="eastAsia"/>
          <w:sz w:val="24"/>
          <w:szCs w:val="24"/>
        </w:rPr>
        <w:t>（1）公共必修课</w:t>
      </w:r>
    </w:p>
    <w:p>
      <w:pPr>
        <w:spacing w:line="360" w:lineRule="auto"/>
        <w:jc w:val="left"/>
        <w:rPr>
          <w:rFonts w:hint="eastAsia"/>
          <w:sz w:val="24"/>
          <w:szCs w:val="24"/>
        </w:rPr>
      </w:pPr>
      <w:r>
        <w:rPr>
          <w:rFonts w:hint="eastAsia"/>
          <w:sz w:val="24"/>
          <w:szCs w:val="24"/>
        </w:rPr>
        <w:t>政治理论</w:t>
      </w:r>
    </w:p>
    <w:p>
      <w:pPr>
        <w:spacing w:line="360" w:lineRule="auto"/>
        <w:jc w:val="left"/>
        <w:rPr>
          <w:rFonts w:hint="eastAsia"/>
          <w:sz w:val="24"/>
          <w:szCs w:val="24"/>
        </w:rPr>
      </w:pPr>
      <w:r>
        <w:rPr>
          <w:rFonts w:hint="eastAsia"/>
          <w:sz w:val="24"/>
          <w:szCs w:val="24"/>
        </w:rPr>
        <w:t>外语</w:t>
      </w:r>
    </w:p>
    <w:p>
      <w:pPr>
        <w:spacing w:line="360" w:lineRule="auto"/>
        <w:jc w:val="left"/>
        <w:rPr>
          <w:rFonts w:hint="eastAsia"/>
          <w:sz w:val="24"/>
          <w:szCs w:val="24"/>
        </w:rPr>
      </w:pPr>
      <w:r>
        <w:rPr>
          <w:rFonts w:hint="eastAsia"/>
          <w:sz w:val="24"/>
          <w:szCs w:val="24"/>
        </w:rPr>
        <w:t>（2）专业必修课（不少于12学分）</w:t>
      </w:r>
    </w:p>
    <w:p>
      <w:pPr>
        <w:spacing w:line="360" w:lineRule="auto"/>
        <w:jc w:val="left"/>
        <w:rPr>
          <w:rFonts w:hint="eastAsia"/>
          <w:sz w:val="24"/>
          <w:szCs w:val="24"/>
        </w:rPr>
      </w:pPr>
      <w:r>
        <w:rPr>
          <w:rFonts w:hint="eastAsia"/>
          <w:sz w:val="24"/>
          <w:szCs w:val="24"/>
        </w:rPr>
        <w:t>社会工作理论</w:t>
      </w:r>
    </w:p>
    <w:p>
      <w:pPr>
        <w:spacing w:line="360" w:lineRule="auto"/>
        <w:jc w:val="left"/>
        <w:rPr>
          <w:rFonts w:hint="eastAsia"/>
          <w:sz w:val="24"/>
          <w:szCs w:val="24"/>
        </w:rPr>
      </w:pPr>
      <w:r>
        <w:rPr>
          <w:rFonts w:hint="eastAsia"/>
          <w:sz w:val="24"/>
          <w:szCs w:val="24"/>
        </w:rPr>
        <w:t>社会研究方法</w:t>
      </w:r>
    </w:p>
    <w:p>
      <w:pPr>
        <w:spacing w:line="360" w:lineRule="auto"/>
        <w:jc w:val="left"/>
        <w:rPr>
          <w:rFonts w:hint="eastAsia"/>
          <w:sz w:val="24"/>
          <w:szCs w:val="24"/>
        </w:rPr>
      </w:pPr>
      <w:r>
        <w:rPr>
          <w:rFonts w:hint="eastAsia"/>
          <w:sz w:val="24"/>
          <w:szCs w:val="24"/>
        </w:rPr>
        <w:t>高级社会工作实务</w:t>
      </w:r>
    </w:p>
    <w:p>
      <w:pPr>
        <w:spacing w:line="360" w:lineRule="auto"/>
        <w:jc w:val="left"/>
        <w:rPr>
          <w:rFonts w:hint="eastAsia"/>
          <w:sz w:val="24"/>
          <w:szCs w:val="24"/>
        </w:rPr>
      </w:pPr>
      <w:r>
        <w:rPr>
          <w:rFonts w:hint="eastAsia"/>
          <w:sz w:val="24"/>
          <w:szCs w:val="24"/>
        </w:rPr>
        <w:t>社会工作伦理</w:t>
      </w:r>
    </w:p>
    <w:p>
      <w:pPr>
        <w:spacing w:line="360" w:lineRule="auto"/>
        <w:jc w:val="left"/>
        <w:rPr>
          <w:rFonts w:hint="eastAsia"/>
          <w:sz w:val="24"/>
          <w:szCs w:val="24"/>
        </w:rPr>
      </w:pPr>
      <w:r>
        <w:rPr>
          <w:rFonts w:hint="eastAsia"/>
          <w:sz w:val="24"/>
          <w:szCs w:val="24"/>
        </w:rPr>
        <w:t>社会政策</w:t>
      </w:r>
    </w:p>
    <w:p>
      <w:pPr>
        <w:spacing w:line="360" w:lineRule="auto"/>
        <w:jc w:val="left"/>
        <w:rPr>
          <w:rFonts w:hint="eastAsia"/>
          <w:sz w:val="24"/>
          <w:szCs w:val="24"/>
        </w:rPr>
      </w:pPr>
      <w:r>
        <w:rPr>
          <w:rFonts w:hint="eastAsia"/>
          <w:sz w:val="24"/>
          <w:szCs w:val="24"/>
        </w:rPr>
        <w:t>2、选修课（不少于8学分，以下课程只做参考）</w:t>
      </w:r>
    </w:p>
    <w:p>
      <w:pPr>
        <w:spacing w:line="360" w:lineRule="auto"/>
        <w:jc w:val="left"/>
        <w:rPr>
          <w:rFonts w:hint="eastAsia"/>
          <w:sz w:val="24"/>
          <w:szCs w:val="24"/>
        </w:rPr>
      </w:pPr>
      <w:r>
        <w:rPr>
          <w:rFonts w:hint="eastAsia"/>
          <w:sz w:val="24"/>
          <w:szCs w:val="24"/>
        </w:rPr>
        <w:t>（1）人的行为与社会环境 </w:t>
      </w:r>
    </w:p>
    <w:p>
      <w:pPr>
        <w:spacing w:line="360" w:lineRule="auto"/>
        <w:jc w:val="left"/>
        <w:rPr>
          <w:rFonts w:hint="eastAsia"/>
          <w:sz w:val="24"/>
          <w:szCs w:val="24"/>
        </w:rPr>
      </w:pPr>
      <w:r>
        <w:rPr>
          <w:rFonts w:hint="eastAsia"/>
          <w:sz w:val="24"/>
          <w:szCs w:val="24"/>
        </w:rPr>
        <w:t>（2）家庭与家庭服务</w:t>
      </w:r>
    </w:p>
    <w:p>
      <w:pPr>
        <w:spacing w:line="360" w:lineRule="auto"/>
        <w:jc w:val="left"/>
        <w:rPr>
          <w:rFonts w:hint="eastAsia"/>
          <w:sz w:val="24"/>
          <w:szCs w:val="24"/>
        </w:rPr>
      </w:pPr>
      <w:r>
        <w:rPr>
          <w:rFonts w:hint="eastAsia"/>
          <w:sz w:val="24"/>
          <w:szCs w:val="24"/>
        </w:rPr>
        <w:t>（3）贫困与发展</w:t>
      </w:r>
    </w:p>
    <w:p>
      <w:pPr>
        <w:spacing w:line="360" w:lineRule="auto"/>
        <w:jc w:val="left"/>
        <w:rPr>
          <w:rFonts w:hint="eastAsia"/>
          <w:sz w:val="24"/>
          <w:szCs w:val="24"/>
        </w:rPr>
      </w:pPr>
      <w:r>
        <w:rPr>
          <w:rFonts w:hint="eastAsia"/>
          <w:sz w:val="24"/>
          <w:szCs w:val="24"/>
        </w:rPr>
        <w:t>（4）社会服务管理</w:t>
      </w:r>
    </w:p>
    <w:p>
      <w:pPr>
        <w:spacing w:line="360" w:lineRule="auto"/>
        <w:jc w:val="left"/>
        <w:rPr>
          <w:rFonts w:hint="eastAsia"/>
          <w:sz w:val="24"/>
          <w:szCs w:val="24"/>
        </w:rPr>
      </w:pPr>
      <w:r>
        <w:rPr>
          <w:rFonts w:hint="eastAsia"/>
          <w:sz w:val="24"/>
          <w:szCs w:val="24"/>
        </w:rPr>
        <w:t>（5）社会项目管理</w:t>
      </w:r>
    </w:p>
    <w:p>
      <w:pPr>
        <w:spacing w:line="360" w:lineRule="auto"/>
        <w:jc w:val="left"/>
        <w:rPr>
          <w:rFonts w:hint="eastAsia"/>
          <w:sz w:val="24"/>
          <w:szCs w:val="24"/>
        </w:rPr>
      </w:pPr>
      <w:r>
        <w:rPr>
          <w:rFonts w:hint="eastAsia"/>
          <w:sz w:val="24"/>
          <w:szCs w:val="24"/>
        </w:rPr>
        <w:t>（6）社会工作评估</w:t>
      </w:r>
    </w:p>
    <w:p>
      <w:pPr>
        <w:spacing w:line="360" w:lineRule="auto"/>
        <w:jc w:val="left"/>
        <w:rPr>
          <w:rFonts w:hint="eastAsia"/>
          <w:sz w:val="24"/>
          <w:szCs w:val="24"/>
        </w:rPr>
      </w:pPr>
      <w:r>
        <w:rPr>
          <w:rFonts w:hint="eastAsia"/>
          <w:sz w:val="24"/>
          <w:szCs w:val="24"/>
        </w:rPr>
        <w:t>（7）中国社会政策</w:t>
      </w:r>
    </w:p>
    <w:p>
      <w:pPr>
        <w:spacing w:line="360" w:lineRule="auto"/>
        <w:jc w:val="left"/>
        <w:rPr>
          <w:rFonts w:hint="eastAsia"/>
          <w:sz w:val="24"/>
          <w:szCs w:val="24"/>
        </w:rPr>
      </w:pPr>
      <w:r>
        <w:rPr>
          <w:rFonts w:hint="eastAsia"/>
          <w:sz w:val="24"/>
          <w:szCs w:val="24"/>
        </w:rPr>
        <w:t>（8）社会保障制度</w:t>
      </w:r>
    </w:p>
    <w:p>
      <w:pPr>
        <w:spacing w:line="360" w:lineRule="auto"/>
        <w:jc w:val="left"/>
        <w:rPr>
          <w:rFonts w:hint="eastAsia"/>
          <w:sz w:val="24"/>
          <w:szCs w:val="24"/>
        </w:rPr>
      </w:pPr>
      <w:r>
        <w:rPr>
          <w:rFonts w:hint="eastAsia"/>
          <w:sz w:val="24"/>
          <w:szCs w:val="24"/>
        </w:rPr>
        <w:t>（9）社会福利思想 </w:t>
      </w:r>
    </w:p>
    <w:p>
      <w:pPr>
        <w:spacing w:line="360" w:lineRule="auto"/>
        <w:jc w:val="left"/>
        <w:rPr>
          <w:rFonts w:hint="eastAsia"/>
          <w:sz w:val="24"/>
          <w:szCs w:val="24"/>
        </w:rPr>
      </w:pPr>
      <w:r>
        <w:rPr>
          <w:rFonts w:hint="eastAsia"/>
          <w:sz w:val="24"/>
          <w:szCs w:val="24"/>
        </w:rPr>
        <w:t>（10）比较社会福利制度</w:t>
      </w:r>
    </w:p>
    <w:p>
      <w:pPr>
        <w:spacing w:line="360" w:lineRule="auto"/>
        <w:jc w:val="left"/>
        <w:rPr>
          <w:rFonts w:hint="eastAsia"/>
          <w:sz w:val="24"/>
          <w:szCs w:val="24"/>
        </w:rPr>
      </w:pPr>
      <w:r>
        <w:rPr>
          <w:rFonts w:hint="eastAsia"/>
          <w:sz w:val="24"/>
          <w:szCs w:val="24"/>
        </w:rPr>
        <w:t>（11）社会统计分析</w:t>
      </w:r>
    </w:p>
    <w:p>
      <w:pPr>
        <w:spacing w:line="360" w:lineRule="auto"/>
        <w:jc w:val="left"/>
        <w:rPr>
          <w:rFonts w:hint="eastAsia"/>
          <w:sz w:val="24"/>
          <w:szCs w:val="24"/>
        </w:rPr>
      </w:pPr>
      <w:r>
        <w:rPr>
          <w:rFonts w:hint="eastAsia"/>
          <w:sz w:val="24"/>
          <w:szCs w:val="24"/>
        </w:rPr>
        <w:t>（12）儿童社会工作</w:t>
      </w:r>
    </w:p>
    <w:p>
      <w:pPr>
        <w:spacing w:line="360" w:lineRule="auto"/>
        <w:jc w:val="left"/>
        <w:rPr>
          <w:rFonts w:hint="eastAsia"/>
          <w:sz w:val="24"/>
          <w:szCs w:val="24"/>
        </w:rPr>
      </w:pPr>
      <w:r>
        <w:rPr>
          <w:rFonts w:hint="eastAsia"/>
          <w:sz w:val="24"/>
          <w:szCs w:val="24"/>
        </w:rPr>
        <w:t>（13）青少年社会工作</w:t>
      </w:r>
    </w:p>
    <w:p>
      <w:pPr>
        <w:spacing w:line="360" w:lineRule="auto"/>
        <w:jc w:val="left"/>
        <w:rPr>
          <w:rFonts w:hint="eastAsia"/>
          <w:sz w:val="24"/>
          <w:szCs w:val="24"/>
        </w:rPr>
      </w:pPr>
      <w:r>
        <w:rPr>
          <w:rFonts w:hint="eastAsia"/>
          <w:sz w:val="24"/>
          <w:szCs w:val="24"/>
        </w:rPr>
        <w:t>（14）老年社会工作</w:t>
      </w:r>
    </w:p>
    <w:p>
      <w:pPr>
        <w:spacing w:line="360" w:lineRule="auto"/>
        <w:jc w:val="left"/>
        <w:rPr>
          <w:rFonts w:hint="eastAsia"/>
          <w:sz w:val="24"/>
          <w:szCs w:val="24"/>
        </w:rPr>
      </w:pPr>
      <w:r>
        <w:rPr>
          <w:rFonts w:hint="eastAsia"/>
          <w:sz w:val="24"/>
          <w:szCs w:val="24"/>
        </w:rPr>
        <w:t>（15）女性社会工作</w:t>
      </w:r>
    </w:p>
    <w:p>
      <w:pPr>
        <w:spacing w:line="360" w:lineRule="auto"/>
        <w:jc w:val="left"/>
        <w:rPr>
          <w:rFonts w:hint="eastAsia"/>
          <w:sz w:val="24"/>
          <w:szCs w:val="24"/>
        </w:rPr>
      </w:pPr>
      <w:r>
        <w:rPr>
          <w:rFonts w:hint="eastAsia"/>
          <w:sz w:val="24"/>
          <w:szCs w:val="24"/>
        </w:rPr>
        <w:t>（16）残疾人社会工作</w:t>
      </w:r>
    </w:p>
    <w:p>
      <w:pPr>
        <w:spacing w:line="360" w:lineRule="auto"/>
        <w:jc w:val="left"/>
        <w:rPr>
          <w:rFonts w:hint="eastAsia"/>
          <w:sz w:val="24"/>
          <w:szCs w:val="24"/>
        </w:rPr>
      </w:pPr>
      <w:r>
        <w:rPr>
          <w:rFonts w:hint="eastAsia"/>
          <w:sz w:val="24"/>
          <w:szCs w:val="24"/>
        </w:rPr>
        <w:t>（17）精神健康服务</w:t>
      </w:r>
    </w:p>
    <w:p>
      <w:pPr>
        <w:spacing w:line="360" w:lineRule="auto"/>
        <w:jc w:val="left"/>
        <w:rPr>
          <w:rFonts w:hint="eastAsia"/>
          <w:sz w:val="24"/>
          <w:szCs w:val="24"/>
        </w:rPr>
      </w:pPr>
      <w:r>
        <w:rPr>
          <w:rFonts w:hint="eastAsia"/>
          <w:sz w:val="24"/>
          <w:szCs w:val="24"/>
        </w:rPr>
        <w:t>（18）学校社会工作</w:t>
      </w:r>
    </w:p>
    <w:p>
      <w:pPr>
        <w:spacing w:line="360" w:lineRule="auto"/>
        <w:jc w:val="left"/>
        <w:rPr>
          <w:rFonts w:hint="eastAsia"/>
          <w:sz w:val="24"/>
          <w:szCs w:val="24"/>
        </w:rPr>
      </w:pPr>
      <w:r>
        <w:rPr>
          <w:rFonts w:hint="eastAsia"/>
          <w:sz w:val="24"/>
          <w:szCs w:val="24"/>
        </w:rPr>
        <w:t>（19）医务社会工作</w:t>
      </w:r>
    </w:p>
    <w:p>
      <w:pPr>
        <w:spacing w:line="360" w:lineRule="auto"/>
        <w:jc w:val="left"/>
        <w:rPr>
          <w:rFonts w:hint="eastAsia"/>
          <w:sz w:val="24"/>
          <w:szCs w:val="24"/>
        </w:rPr>
      </w:pPr>
      <w:r>
        <w:rPr>
          <w:rFonts w:hint="eastAsia"/>
          <w:sz w:val="24"/>
          <w:szCs w:val="24"/>
        </w:rPr>
        <w:t>（20）社会矫正</w:t>
      </w:r>
    </w:p>
    <w:p>
      <w:pPr>
        <w:spacing w:line="360" w:lineRule="auto"/>
        <w:jc w:val="left"/>
        <w:rPr>
          <w:rFonts w:hint="eastAsia"/>
          <w:sz w:val="24"/>
          <w:szCs w:val="24"/>
        </w:rPr>
      </w:pPr>
      <w:r>
        <w:rPr>
          <w:rFonts w:hint="eastAsia"/>
          <w:sz w:val="24"/>
          <w:szCs w:val="24"/>
        </w:rPr>
        <w:t>（21）企业社会工作</w:t>
      </w:r>
    </w:p>
    <w:p>
      <w:pPr>
        <w:spacing w:line="360" w:lineRule="auto"/>
        <w:jc w:val="left"/>
        <w:rPr>
          <w:rFonts w:hint="eastAsia"/>
          <w:sz w:val="24"/>
          <w:szCs w:val="24"/>
        </w:rPr>
      </w:pPr>
      <w:r>
        <w:rPr>
          <w:rFonts w:hint="eastAsia"/>
          <w:sz w:val="24"/>
          <w:szCs w:val="24"/>
        </w:rPr>
        <w:t>（22）农村社会工作</w:t>
      </w:r>
    </w:p>
    <w:p>
      <w:pPr>
        <w:spacing w:line="360" w:lineRule="auto"/>
        <w:jc w:val="left"/>
        <w:rPr>
          <w:rFonts w:hint="eastAsia"/>
          <w:sz w:val="24"/>
          <w:szCs w:val="24"/>
        </w:rPr>
      </w:pPr>
      <w:r>
        <w:rPr>
          <w:rFonts w:hint="eastAsia"/>
          <w:sz w:val="24"/>
          <w:szCs w:val="24"/>
        </w:rPr>
        <w:t>（23）由各个学校根据需要开设的其他社会工作类选修课</w:t>
      </w:r>
    </w:p>
    <w:p>
      <w:pPr>
        <w:spacing w:line="360" w:lineRule="auto"/>
        <w:jc w:val="left"/>
        <w:rPr>
          <w:rFonts w:hint="eastAsia"/>
          <w:sz w:val="24"/>
          <w:szCs w:val="24"/>
        </w:rPr>
      </w:pPr>
      <w:r>
        <w:rPr>
          <w:rFonts w:hint="eastAsia"/>
          <w:sz w:val="24"/>
          <w:szCs w:val="24"/>
        </w:rPr>
        <w:t>（三)社会工作实习（必修，社会工作专业毕业生不少于600小时，其他学生不少于800小时，6学分）</w:t>
      </w:r>
    </w:p>
    <w:p>
      <w:pPr>
        <w:spacing w:line="360" w:lineRule="auto"/>
        <w:jc w:val="left"/>
        <w:rPr>
          <w:rFonts w:hint="eastAsia"/>
          <w:sz w:val="24"/>
          <w:szCs w:val="24"/>
        </w:rPr>
      </w:pPr>
      <w:r>
        <w:rPr>
          <w:rFonts w:hint="eastAsia"/>
          <w:sz w:val="24"/>
          <w:szCs w:val="24"/>
        </w:rPr>
        <w:t>实行有专业督导的社会工作实习，可分成同步实习、集中（团块）实习两部分，在两年内完成，分别计学分。</w:t>
      </w:r>
    </w:p>
    <w:p>
      <w:pPr>
        <w:spacing w:line="360" w:lineRule="auto"/>
        <w:jc w:val="left"/>
        <w:rPr>
          <w:rFonts w:hint="eastAsia"/>
          <w:sz w:val="24"/>
          <w:szCs w:val="24"/>
        </w:rPr>
      </w:pPr>
      <w:r>
        <w:rPr>
          <w:rFonts w:hint="eastAsia"/>
          <w:sz w:val="24"/>
          <w:szCs w:val="24"/>
        </w:rPr>
        <w:t>(四）学位论文（2学分）</w:t>
      </w:r>
    </w:p>
    <w:p>
      <w:pPr>
        <w:spacing w:line="360" w:lineRule="auto"/>
        <w:jc w:val="left"/>
        <w:rPr>
          <w:rFonts w:hint="eastAsia"/>
          <w:sz w:val="28"/>
          <w:szCs w:val="28"/>
        </w:rPr>
      </w:pPr>
      <w:r>
        <w:rPr>
          <w:rFonts w:hint="eastAsia"/>
          <w:sz w:val="28"/>
          <w:szCs w:val="28"/>
        </w:rPr>
        <w:t>六、学位论文和学位授予</w:t>
      </w:r>
    </w:p>
    <w:p>
      <w:pPr>
        <w:spacing w:line="360" w:lineRule="auto"/>
        <w:jc w:val="left"/>
        <w:rPr>
          <w:rFonts w:hint="eastAsia"/>
          <w:sz w:val="24"/>
          <w:szCs w:val="24"/>
        </w:rPr>
      </w:pPr>
      <w:r>
        <w:rPr>
          <w:rFonts w:hint="eastAsia"/>
          <w:sz w:val="24"/>
          <w:szCs w:val="24"/>
        </w:rPr>
        <w:t>学生应在导师指导下独立完成学位论文。论文可以是项目设计与评估、实务研究或政策研究等。</w:t>
      </w:r>
    </w:p>
    <w:p>
      <w:pPr>
        <w:spacing w:line="360" w:lineRule="auto"/>
        <w:jc w:val="left"/>
        <w:rPr>
          <w:rFonts w:hint="eastAsia"/>
          <w:sz w:val="24"/>
          <w:szCs w:val="24"/>
        </w:rPr>
      </w:pPr>
      <w:r>
        <w:rPr>
          <w:rFonts w:hint="eastAsia"/>
          <w:sz w:val="24"/>
          <w:szCs w:val="24"/>
        </w:rPr>
        <w:t>学生完成规定的课程学习、修满学分，按规定完成学位论文并通过学位论文答辩者，授予社会工作硕士专业学位，颁发硕士研究生毕业证书。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A81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2020-01-07T02:24:50Z</dcterms:created>
  <dc:creator>李玉娟</dc:creator>
  <cp:lastModifiedBy>娟儿啊</cp:lastModifiedBy>
  <dcterms:modified xsi:type="dcterms:W3CDTF">2020-01-07T02:28:42Z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